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 w:hAnsi="仿宋" w:eastAsia="仿宋" w:cs="仿宋"/>
          <w:i w:val="0"/>
          <w:iCs w:val="0"/>
          <w:caps w:val="0"/>
          <w:color w:val="auto"/>
          <w:spacing w:val="0"/>
          <w:kern w:val="0"/>
          <w:sz w:val="32"/>
          <w:szCs w:val="32"/>
          <w:shd w:val="clear" w:fill="FFFFFF"/>
          <w:lang w:val="en-US" w:eastAsia="zh-CN" w:bidi="ar"/>
        </w:rPr>
      </w:pPr>
      <w:bookmarkStart w:id="3" w:name="_GoBack"/>
      <w:bookmarkEnd w:id="3"/>
      <w:r>
        <w:rPr>
          <w:rFonts w:hint="eastAsia" w:ascii="黑体" w:hAnsi="黑体" w:eastAsia="黑体" w:cs="黑体"/>
          <w:i w:val="0"/>
          <w:iCs w:val="0"/>
          <w:caps w:val="0"/>
          <w:color w:val="auto"/>
          <w:spacing w:val="0"/>
          <w:kern w:val="0"/>
          <w:sz w:val="32"/>
          <w:szCs w:val="32"/>
          <w:shd w:val="clear" w:fill="FFFFFF"/>
          <w:lang w:val="en-US" w:eastAsia="zh-CN" w:bidi="ar"/>
        </w:rPr>
        <w:t>附  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80" w:lineRule="atLeast"/>
        <w:ind w:left="0" w:leftChars="0" w:right="0" w:firstLine="0" w:firstLineChars="0"/>
        <w:jc w:val="cente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《郑州商品交易所瓶级聚酯切片期权合约（征求意见稿）》及起草说明</w:t>
      </w:r>
    </w:p>
    <w:p>
      <w:pPr>
        <w:ind w:left="0" w:leftChars="0" w:firstLine="640" w:firstLineChars="200"/>
        <w:outlineLvl w:val="0"/>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一、瓶级聚酯切片</w:t>
      </w:r>
      <w:r>
        <w:rPr>
          <w:rFonts w:hint="default" w:ascii="Times New Roman" w:hAnsi="Times New Roman" w:eastAsia="黑体" w:cs="Times New Roman"/>
          <w:i w:val="0"/>
          <w:iCs w:val="0"/>
          <w:caps w:val="0"/>
          <w:color w:val="auto"/>
          <w:spacing w:val="0"/>
          <w:kern w:val="0"/>
          <w:sz w:val="32"/>
          <w:szCs w:val="32"/>
          <w:shd w:val="clear" w:fill="FFFFFF"/>
          <w:vertAlign w:val="superscript"/>
          <w:lang w:val="en-US" w:eastAsia="zh-CN" w:bidi="ar"/>
        </w:rPr>
        <w:footnoteReference w:id="0"/>
      </w:r>
      <w:r>
        <w:rPr>
          <w:rFonts w:hint="eastAsia" w:ascii="黑体" w:hAnsi="黑体" w:eastAsia="黑体" w:cs="黑体"/>
          <w:i w:val="0"/>
          <w:iCs w:val="0"/>
          <w:caps w:val="0"/>
          <w:color w:val="auto"/>
          <w:spacing w:val="0"/>
          <w:kern w:val="0"/>
          <w:sz w:val="32"/>
          <w:szCs w:val="32"/>
          <w:shd w:val="clear" w:fill="FFFFFF"/>
          <w:lang w:val="en-US" w:eastAsia="zh-CN" w:bidi="ar"/>
        </w:rPr>
        <w:t>期权合约（征求意见稿）</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26"/>
        <w:gridCol w:w="6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合约标的物</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hint="eastAsia" w:eastAsia="仿宋" w:cs="Times New Roman"/>
                <w:color w:val="auto"/>
                <w:sz w:val="24"/>
              </w:rPr>
              <w:t>瓶级聚酯切片</w:t>
            </w:r>
            <w:r>
              <w:rPr>
                <w:rFonts w:eastAsia="仿宋" w:cs="Times New Roman"/>
                <w:color w:val="auto"/>
                <w:sz w:val="24"/>
              </w:rPr>
              <w:t>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合约类型</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看涨期权、看跌期权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交易单位</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1手</w:t>
            </w:r>
            <w:r>
              <w:rPr>
                <w:rFonts w:hint="eastAsia" w:eastAsia="仿宋" w:cs="Times New Roman"/>
                <w:color w:val="auto"/>
                <w:sz w:val="24"/>
              </w:rPr>
              <w:t>瓶级聚酯切片</w:t>
            </w:r>
            <w:r>
              <w:rPr>
                <w:rFonts w:eastAsia="仿宋" w:cs="Times New Roman"/>
                <w:color w:val="auto"/>
                <w:sz w:val="24"/>
              </w:rPr>
              <w:t>期货合约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报价单位</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元（人民币）/吨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最小变动价位</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hint="eastAsia" w:ascii="Times New Roman" w:eastAsia="宋体" w:cs="Times New Roman"/>
                <w:color w:val="auto"/>
                <w:sz w:val="24"/>
                <w:lang w:val="en-US" w:eastAsia="zh-CN"/>
              </w:rPr>
              <w:t>0.5</w:t>
            </w:r>
            <w:r>
              <w:rPr>
                <w:rFonts w:eastAsia="仿宋" w:cs="Times New Roman"/>
                <w:color w:val="auto"/>
                <w:sz w:val="24"/>
              </w:rPr>
              <w:t>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涨跌停板幅度</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与</w:t>
            </w:r>
            <w:r>
              <w:rPr>
                <w:rFonts w:hint="eastAsia" w:eastAsia="仿宋" w:cs="Times New Roman"/>
                <w:color w:val="auto"/>
                <w:sz w:val="24"/>
              </w:rPr>
              <w:t>瓶级聚酯切片</w:t>
            </w:r>
            <w:r>
              <w:rPr>
                <w:rFonts w:eastAsia="仿宋" w:cs="Times New Roman"/>
                <w:color w:val="auto"/>
                <w:sz w:val="24"/>
              </w:rPr>
              <w:t>期货合约涨跌停板幅度相同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合约月份</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标的期货合约中的连续两个近月，其后月份在标的期货合约结算后持仓量达到</w:t>
            </w:r>
            <w:r>
              <w:rPr>
                <w:rFonts w:hint="eastAsia" w:ascii="Times New Roman" w:eastAsia="宋体" w:cs="Times New Roman"/>
                <w:color w:val="auto"/>
                <w:sz w:val="24"/>
                <w:lang w:val="en-US" w:eastAsia="zh-CN"/>
              </w:rPr>
              <w:t>3</w:t>
            </w:r>
            <w:r>
              <w:rPr>
                <w:rFonts w:eastAsia="仿宋" w:cs="Times New Roman"/>
                <w:color w:val="auto"/>
                <w:sz w:val="24"/>
              </w:rPr>
              <w:t>000手（单边）之后的第二个交易日挂牌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交易时间</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上午9:00</w:t>
            </w:r>
            <w:r>
              <w:rPr>
                <w:rFonts w:hint="eastAsia" w:eastAsia="仿宋" w:cs="Times New Roman"/>
                <w:color w:val="auto"/>
                <w:sz w:val="24"/>
                <w:lang w:eastAsia="zh-CN"/>
              </w:rPr>
              <w:t>－</w:t>
            </w:r>
            <w:r>
              <w:rPr>
                <w:rFonts w:eastAsia="仿宋" w:cs="Times New Roman"/>
                <w:color w:val="auto"/>
                <w:sz w:val="24"/>
              </w:rPr>
              <w:t>11:30，下午13:30</w:t>
            </w:r>
            <w:r>
              <w:rPr>
                <w:rFonts w:hint="eastAsia" w:eastAsia="仿宋" w:cs="Times New Roman"/>
                <w:color w:val="auto"/>
                <w:sz w:val="24"/>
                <w:lang w:eastAsia="zh-CN"/>
              </w:rPr>
              <w:t>－</w:t>
            </w:r>
            <w:r>
              <w:rPr>
                <w:rFonts w:eastAsia="仿宋" w:cs="Times New Roman"/>
                <w:color w:val="auto"/>
                <w:sz w:val="24"/>
              </w:rPr>
              <w:t>15:00，以及交易所规定的其他交易时间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最后交易日</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标的期货合约交割月份前一个月第15个日历日之前（含该日）的倒数第3个交易日，以及交易所规定的其他日期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24"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到期日</w:t>
            </w:r>
          </w:p>
        </w:tc>
        <w:tc>
          <w:tcPr>
            <w:tcW w:w="6598"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ascii="Times New Roman" w:hAnsi="Times New Roman" w:eastAsia="仿宋" w:cs="Times New Roman"/>
                <w:color w:val="auto"/>
                <w:sz w:val="24"/>
              </w:rPr>
            </w:pPr>
            <w:r>
              <w:rPr>
                <w:rFonts w:eastAsia="仿宋" w:cs="Times New Roman"/>
                <w:color w:val="auto"/>
                <w:sz w:val="24"/>
              </w:rPr>
              <w:t>同最后交易日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行权价格</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ascii="Times New Roman" w:hAnsi="Times New Roman" w:eastAsia="仿宋" w:cs="Times New Roman"/>
                <w:color w:val="auto"/>
                <w:sz w:val="24"/>
              </w:rPr>
              <w:t>行权价格</w:t>
            </w:r>
            <w:r>
              <w:rPr>
                <w:rFonts w:hint="default" w:ascii="Times New Roman" w:hAnsi="Times New Roman" w:eastAsia="仿宋" w:cs="Times New Roman"/>
                <w:color w:val="auto"/>
                <w:sz w:val="24"/>
              </w:rPr>
              <w:t>覆盖标的期货合约上一交易日结算价上下浮动1.5倍当日涨跌停板幅度对应的价格范围。行权价格≤5000元/吨，行权价格间距为50元/吨；5000元/吨＜行权价格≤10000元/吨，行权价格间距为100元/吨；行权价格＞10000元/吨，行权价格间距为200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行权方式</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美式。买方可在到期日前任一交易日的交易时间提交行权申请；买方可在到期日</w:t>
            </w:r>
            <w:r>
              <w:rPr>
                <w:rFonts w:eastAsia="仿宋" w:cs="Times New Roman"/>
                <w:color w:val="auto"/>
                <w:sz w:val="24"/>
              </w:rPr>
              <w:t>15:30</w:t>
            </w:r>
            <w:r>
              <w:rPr>
                <w:rFonts w:hint="default" w:ascii="Times New Roman" w:hAnsi="Times New Roman" w:eastAsia="仿宋" w:cs="Times New Roman"/>
                <w:color w:val="auto"/>
                <w:sz w:val="24"/>
              </w:rPr>
              <w:t>之前提交行权申请、放弃申请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交易代码</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看涨期权：</w:t>
            </w:r>
            <w:r>
              <w:rPr>
                <w:rFonts w:ascii="Times New Roman" w:hAnsi="Times New Roman" w:eastAsia="仿宋" w:cs="Times New Roman"/>
                <w:color w:val="auto"/>
                <w:sz w:val="24"/>
              </w:rPr>
              <w:t>P</w:t>
            </w:r>
            <w:r>
              <w:rPr>
                <w:rFonts w:hint="default" w:ascii="Times New Roman" w:hAnsi="Times New Roman" w:eastAsia="仿宋" w:cs="Times New Roman"/>
                <w:color w:val="auto"/>
                <w:sz w:val="24"/>
              </w:rPr>
              <w:t>R</w:t>
            </w:r>
            <w:r>
              <w:rPr>
                <w:rFonts w:ascii="Times New Roman" w:hAnsi="Times New Roman" w:eastAsia="仿宋" w:cs="Times New Roman"/>
                <w:color w:val="auto"/>
                <w:sz w:val="24"/>
              </w:rPr>
              <w:t>-</w:t>
            </w:r>
            <w:r>
              <w:rPr>
                <w:rFonts w:hint="default" w:ascii="Times New Roman" w:hAnsi="Times New Roman" w:eastAsia="仿宋" w:cs="Times New Roman"/>
                <w:color w:val="auto"/>
                <w:sz w:val="24"/>
              </w:rPr>
              <w:t>合约月份</w:t>
            </w:r>
            <w:r>
              <w:rPr>
                <w:rFonts w:ascii="Times New Roman" w:hAnsi="Times New Roman" w:eastAsia="仿宋" w:cs="Times New Roman"/>
                <w:color w:val="auto"/>
                <w:sz w:val="24"/>
              </w:rPr>
              <w:t>-C-</w:t>
            </w:r>
            <w:r>
              <w:rPr>
                <w:rFonts w:hint="default" w:ascii="Times New Roman" w:hAnsi="Times New Roman" w:eastAsia="仿宋" w:cs="Times New Roman"/>
                <w:color w:val="auto"/>
                <w:sz w:val="24"/>
              </w:rPr>
              <w:t>行权价格</w:t>
            </w:r>
          </w:p>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看跌期权：</w:t>
            </w:r>
            <w:r>
              <w:rPr>
                <w:rFonts w:ascii="Times New Roman" w:hAnsi="Times New Roman" w:eastAsia="仿宋" w:cs="Times New Roman"/>
                <w:color w:val="auto"/>
                <w:sz w:val="24"/>
              </w:rPr>
              <w:t>P</w:t>
            </w:r>
            <w:r>
              <w:rPr>
                <w:rFonts w:hint="default" w:ascii="Times New Roman" w:hAnsi="Times New Roman" w:eastAsia="仿宋" w:cs="Times New Roman"/>
                <w:color w:val="auto"/>
                <w:sz w:val="24"/>
              </w:rPr>
              <w:t>R</w:t>
            </w:r>
            <w:r>
              <w:rPr>
                <w:rFonts w:ascii="Times New Roman" w:hAnsi="Times New Roman" w:eastAsia="仿宋" w:cs="Times New Roman"/>
                <w:color w:val="auto"/>
                <w:sz w:val="24"/>
              </w:rPr>
              <w:t>-</w:t>
            </w:r>
            <w:r>
              <w:rPr>
                <w:rFonts w:hint="default" w:ascii="Times New Roman" w:hAnsi="Times New Roman" w:eastAsia="仿宋" w:cs="Times New Roman"/>
                <w:color w:val="auto"/>
                <w:sz w:val="24"/>
              </w:rPr>
              <w:t>合约月份</w:t>
            </w:r>
            <w:r>
              <w:rPr>
                <w:rFonts w:ascii="Times New Roman" w:hAnsi="Times New Roman" w:eastAsia="仿宋" w:cs="Times New Roman"/>
                <w:color w:val="auto"/>
                <w:sz w:val="24"/>
              </w:rPr>
              <w:t>-P-</w:t>
            </w:r>
            <w:r>
              <w:rPr>
                <w:rFonts w:hint="default" w:ascii="Times New Roman" w:hAnsi="Times New Roman" w:eastAsia="仿宋" w:cs="Times New Roman"/>
                <w:color w:val="auto"/>
                <w:sz w:val="24"/>
              </w:rPr>
              <w:t>行权价格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29"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上市交易所</w:t>
            </w:r>
          </w:p>
        </w:tc>
        <w:tc>
          <w:tcPr>
            <w:tcW w:w="3871" w:type="pct"/>
            <w:tcBorders>
              <w:top w:val="single" w:color="000000" w:sz="4" w:space="0"/>
              <w:left w:val="single" w:color="000000" w:sz="4" w:space="0"/>
              <w:bottom w:val="single" w:color="000000" w:sz="4" w:space="0"/>
              <w:right w:val="single" w:color="000000" w:sz="4" w:space="0"/>
            </w:tcBorders>
            <w:noWrap w:val="0"/>
            <w:vAlign w:val="center"/>
          </w:tcPr>
          <w:p>
            <w:pPr>
              <w:suppressAutoHyphens/>
              <w:ind w:firstLine="0" w:firstLineChars="0"/>
              <w:rPr>
                <w:rFonts w:ascii="Times New Roman" w:hAnsi="Times New Roman" w:eastAsia="仿宋" w:cs="Times New Roman"/>
                <w:color w:val="auto"/>
                <w:sz w:val="24"/>
              </w:rPr>
            </w:pPr>
            <w:r>
              <w:rPr>
                <w:rFonts w:hint="default" w:ascii="Times New Roman" w:hAnsi="Times New Roman" w:eastAsia="仿宋" w:cs="Times New Roman"/>
                <w:color w:val="auto"/>
                <w:sz w:val="24"/>
              </w:rPr>
              <w:t>郑州商品交易所</w:t>
            </w:r>
          </w:p>
        </w:tc>
      </w:tr>
    </w:tbl>
    <w:p>
      <w:pPr>
        <w:ind w:left="0" w:leftChars="0" w:firstLine="640" w:firstLineChars="200"/>
        <w:outlineLvl w:val="0"/>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二、主要条款设计说明</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（一）交易单位：</w:t>
      </w:r>
      <w:r>
        <w:rPr>
          <w:rFonts w:ascii="Times New Roman" w:hAnsi="Times New Roman" w:eastAsia="楷体" w:cs="Times New Roman"/>
          <w:color w:val="auto"/>
          <w:sz w:val="32"/>
          <w:szCs w:val="32"/>
        </w:rPr>
        <w:t>1</w:t>
      </w:r>
      <w:r>
        <w:rPr>
          <w:rFonts w:hint="default" w:ascii="Times New Roman" w:hAnsi="Times New Roman" w:eastAsia="楷体" w:cs="Times New Roman"/>
          <w:color w:val="auto"/>
          <w:sz w:val="32"/>
          <w:szCs w:val="32"/>
        </w:rPr>
        <w:t>手瓶片期货合约</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期权合约的交易单位是指每一交易单位对应标的物数量。设置瓶片期权交易单位为</w:t>
      </w:r>
      <w:r>
        <w:rPr>
          <w:rFonts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rPr>
        <w:t>手瓶片期货合约，方便</w:t>
      </w:r>
      <w:r>
        <w:rPr>
          <w:rFonts w:ascii="Times New Roman" w:hAnsi="Times New Roman" w:eastAsia="仿宋"/>
          <w:color w:val="auto"/>
          <w:sz w:val="32"/>
          <w:szCs w:val="32"/>
          <w:highlight w:val="none"/>
        </w:rPr>
        <w:t>交易</w:t>
      </w:r>
      <w:r>
        <w:rPr>
          <w:rFonts w:hint="default" w:ascii="Times New Roman" w:hAnsi="Times New Roman" w:eastAsia="仿宋" w:cs="Times New Roman"/>
          <w:color w:val="auto"/>
          <w:sz w:val="32"/>
          <w:szCs w:val="32"/>
        </w:rPr>
        <w:t>者对冲期货部位风险。</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（二）报价单位：元（人民币）</w:t>
      </w:r>
      <w:r>
        <w:rPr>
          <w:rFonts w:eastAsia="楷体" w:cs="Times New Roman"/>
          <w:color w:val="auto"/>
          <w:sz w:val="32"/>
          <w:szCs w:val="32"/>
        </w:rPr>
        <w:t>/</w:t>
      </w:r>
      <w:r>
        <w:rPr>
          <w:rFonts w:hint="default" w:ascii="Times New Roman" w:hAnsi="Times New Roman" w:eastAsia="楷体" w:cs="Times New Roman"/>
          <w:color w:val="auto"/>
          <w:sz w:val="32"/>
          <w:szCs w:val="32"/>
        </w:rPr>
        <w:t>吨</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期权报价单位一般与标的期货报价单位保持一致。瓶片期权合约报价单位为元（人民币）/吨，与瓶片期货合约报价单位相同。</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（三）最小变动价位：</w:t>
      </w:r>
      <w:r>
        <w:rPr>
          <w:rFonts w:ascii="Times New Roman" w:hAnsi="Times New Roman" w:eastAsia="楷体" w:cs="Times New Roman"/>
          <w:color w:val="auto"/>
          <w:sz w:val="32"/>
          <w:szCs w:val="32"/>
        </w:rPr>
        <w:t>0.5</w:t>
      </w:r>
      <w:r>
        <w:rPr>
          <w:rFonts w:hint="default" w:ascii="Times New Roman" w:hAnsi="Times New Roman" w:eastAsia="楷体" w:cs="Times New Roman"/>
          <w:color w:val="auto"/>
          <w:sz w:val="32"/>
          <w:szCs w:val="32"/>
        </w:rPr>
        <w:t>元/吨</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期权最小变动价位是指期权合约单位价格涨跌变动的最小值。从国内期权市场运行情况来看，</w:t>
      </w:r>
      <w:r>
        <w:rPr>
          <w:rFonts w:eastAsia="仿宋" w:cs="Times New Roman"/>
          <w:color w:val="auto"/>
          <w:sz w:val="32"/>
          <w:szCs w:val="32"/>
        </w:rPr>
        <w:t>Delta</w:t>
      </w:r>
      <w:r>
        <w:rPr>
          <w:rFonts w:hint="eastAsia" w:eastAsia="仿宋" w:cs="Times New Roman"/>
          <w:color w:val="auto"/>
          <w:sz w:val="32"/>
          <w:szCs w:val="32"/>
        </w:rPr>
        <w:t>绝对</w:t>
      </w:r>
      <w:r>
        <w:rPr>
          <w:rFonts w:eastAsia="仿宋" w:cs="Times New Roman"/>
          <w:color w:val="auto"/>
          <w:sz w:val="32"/>
          <w:szCs w:val="32"/>
        </w:rPr>
        <w:t>值在0.2至0.5之间</w:t>
      </w:r>
      <w:r>
        <w:rPr>
          <w:rFonts w:hint="eastAsia" w:eastAsia="仿宋" w:cs="Times New Roman"/>
          <w:color w:val="auto"/>
          <w:sz w:val="32"/>
          <w:szCs w:val="32"/>
        </w:rPr>
        <w:t>的</w:t>
      </w:r>
      <w:r>
        <w:rPr>
          <w:rFonts w:eastAsia="仿宋" w:cs="Times New Roman"/>
          <w:color w:val="auto"/>
          <w:sz w:val="32"/>
          <w:szCs w:val="32"/>
        </w:rPr>
        <w:t>虚值、平值期权合约较为活跃</w:t>
      </w:r>
      <w:r>
        <w:rPr>
          <w:rFonts w:hint="default" w:ascii="Times New Roman" w:hAnsi="Times New Roman" w:eastAsia="仿宋" w:cs="Times New Roman"/>
          <w:color w:val="auto"/>
          <w:sz w:val="32"/>
          <w:szCs w:val="32"/>
        </w:rPr>
        <w:t>，即期权价格波动约为期货的1/5至1/2。瓶片期权与期货最小变动价位（</w:t>
      </w:r>
      <w:r>
        <w:rPr>
          <w:rFonts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rPr>
        <w:t>元/吨）之比为1/</w:t>
      </w:r>
      <w:r>
        <w:rPr>
          <w:rFonts w:ascii="Times New Roman" w:hAnsi="Times New Roman" w:eastAsia="仿宋" w:cs="Times New Roman"/>
          <w:color w:val="auto"/>
          <w:sz w:val="32"/>
          <w:szCs w:val="32"/>
        </w:rPr>
        <w:t>4</w:t>
      </w:r>
      <w:r>
        <w:rPr>
          <w:rFonts w:hint="default" w:ascii="Times New Roman" w:hAnsi="Times New Roman" w:eastAsia="仿宋" w:cs="Times New Roman"/>
          <w:color w:val="auto"/>
          <w:sz w:val="32"/>
          <w:szCs w:val="32"/>
        </w:rPr>
        <w:t>，在此范围内，可以满足市场交易需求</w:t>
      </w:r>
      <w:r>
        <w:rPr>
          <w:rFonts w:hint="default" w:ascii="Times New Roman" w:hAnsi="Times New Roman" w:eastAsia="仿宋" w:cs="Times New Roman"/>
          <w:color w:val="auto"/>
          <w:spacing w:val="-6"/>
          <w:sz w:val="32"/>
          <w:szCs w:val="32"/>
        </w:rPr>
        <w:t>。</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（四）涨跌停板幅度：与标的期货涨跌停板幅度相同</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瓶片期权合约涨跌停板幅度与标的期货相同</w:t>
      </w:r>
      <w:r>
        <w:rPr>
          <w:rFonts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这里的相同是指绝对数相同，</w:t>
      </w:r>
      <w:r>
        <w:rPr>
          <w:rFonts w:ascii="Times New Roman" w:hAnsi="Times New Roman" w:eastAsia="仿宋" w:cs="Times New Roman"/>
          <w:color w:val="auto"/>
          <w:sz w:val="32"/>
          <w:szCs w:val="32"/>
        </w:rPr>
        <w:t>即期权</w:t>
      </w:r>
      <w:r>
        <w:rPr>
          <w:rFonts w:hint="default" w:ascii="Times New Roman" w:hAnsi="Times New Roman" w:eastAsia="仿宋" w:cs="Times New Roman"/>
          <w:color w:val="auto"/>
          <w:sz w:val="32"/>
          <w:szCs w:val="32"/>
        </w:rPr>
        <w:t>合约</w:t>
      </w:r>
      <w:r>
        <w:rPr>
          <w:rFonts w:ascii="Times New Roman" w:hAnsi="Times New Roman" w:eastAsia="仿宋" w:cs="Times New Roman"/>
          <w:color w:val="auto"/>
          <w:sz w:val="32"/>
          <w:szCs w:val="32"/>
        </w:rPr>
        <w:t>的涨跌停板幅度按标的期货</w:t>
      </w:r>
      <w:r>
        <w:rPr>
          <w:rFonts w:hint="default" w:ascii="Times New Roman" w:hAnsi="Times New Roman" w:eastAsia="仿宋" w:cs="Times New Roman"/>
          <w:color w:val="auto"/>
          <w:sz w:val="32"/>
          <w:szCs w:val="32"/>
        </w:rPr>
        <w:t>合约的</w:t>
      </w:r>
      <w:r>
        <w:rPr>
          <w:rFonts w:ascii="Times New Roman" w:hAnsi="Times New Roman" w:eastAsia="仿宋" w:cs="Times New Roman"/>
          <w:color w:val="auto"/>
          <w:sz w:val="32"/>
          <w:szCs w:val="32"/>
        </w:rPr>
        <w:t>结算价和价幅比例计算</w:t>
      </w:r>
      <w:r>
        <w:rPr>
          <w:rFonts w:hint="default" w:ascii="Times New Roman" w:hAnsi="Times New Roman" w:eastAsia="仿宋" w:cs="Times New Roman"/>
          <w:color w:val="auto"/>
          <w:sz w:val="32"/>
          <w:szCs w:val="32"/>
        </w:rPr>
        <w:t>。当期权权利金小于</w:t>
      </w:r>
      <w:r>
        <w:rPr>
          <w:rFonts w:ascii="Times New Roman" w:hAnsi="Times New Roman" w:eastAsia="仿宋"/>
          <w:color w:val="auto"/>
          <w:sz w:val="32"/>
          <w:szCs w:val="32"/>
          <w:highlight w:val="none"/>
        </w:rPr>
        <w:t>等于</w:t>
      </w:r>
      <w:r>
        <w:rPr>
          <w:rFonts w:hint="default" w:ascii="Times New Roman" w:hAnsi="Times New Roman" w:eastAsia="仿宋" w:cs="Times New Roman"/>
          <w:color w:val="auto"/>
          <w:sz w:val="32"/>
          <w:szCs w:val="32"/>
        </w:rPr>
        <w:t>涨跌停板幅度时，跌停板价格取期权合约的最小变动价位。</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（五）合约月份：两个近月+活跃月份</w:t>
      </w:r>
    </w:p>
    <w:p>
      <w:pPr>
        <w:suppressAutoHyphens/>
        <w:spacing w:line="360" w:lineRule="auto"/>
        <w:ind w:firstLine="640" w:firstLineChars="200"/>
        <w:rPr>
          <w:rFonts w:ascii="Times New Roman" w:hAnsi="Times New Roman" w:eastAsia="仿宋"/>
          <w:color w:val="auto"/>
          <w:sz w:val="32"/>
          <w:szCs w:val="32"/>
          <w:highlight w:val="none"/>
        </w:rPr>
      </w:pPr>
      <w:r>
        <w:rPr>
          <w:rFonts w:hint="default" w:ascii="Times New Roman" w:hAnsi="Times New Roman" w:eastAsia="仿宋" w:cs="Times New Roman"/>
          <w:color w:val="auto"/>
          <w:sz w:val="32"/>
          <w:szCs w:val="32"/>
        </w:rPr>
        <w:t>瓶片期权合约月份规定为两个近月及持仓量超过</w:t>
      </w:r>
      <w:r>
        <w:rPr>
          <w:rFonts w:hint="default" w:ascii="Times New Roman" w:hAnsi="Times New Roman" w:eastAsia="仿宋" w:cs="Times New Roman"/>
          <w:color w:val="auto"/>
          <w:sz w:val="32"/>
          <w:szCs w:val="32"/>
          <w:lang w:val="en-US" w:eastAsia="zh-CN"/>
        </w:rPr>
        <w:t>3</w:t>
      </w:r>
      <w:r>
        <w:rPr>
          <w:rFonts w:ascii="Times New Roman" w:hAnsi="Times New Roman" w:eastAsia="仿宋" w:cs="Times New Roman"/>
          <w:color w:val="auto"/>
          <w:sz w:val="32"/>
          <w:szCs w:val="32"/>
        </w:rPr>
        <w:t>000</w:t>
      </w:r>
      <w:r>
        <w:rPr>
          <w:rFonts w:hint="default" w:ascii="Times New Roman" w:hAnsi="Times New Roman" w:eastAsia="仿宋" w:cs="Times New Roman"/>
          <w:color w:val="auto"/>
          <w:sz w:val="32"/>
          <w:szCs w:val="32"/>
        </w:rPr>
        <w:t>手（单边）的活跃月份，</w:t>
      </w:r>
      <w:bookmarkStart w:id="0" w:name="_Toc28178380"/>
      <w:bookmarkStart w:id="1" w:name="_Toc28178143"/>
      <w:bookmarkStart w:id="2" w:name="_Toc28177760"/>
      <w:r>
        <w:rPr>
          <w:rFonts w:ascii="Times New Roman" w:hAnsi="Times New Roman" w:eastAsia="仿宋"/>
          <w:color w:val="auto"/>
          <w:sz w:val="32"/>
          <w:szCs w:val="32"/>
          <w:highlight w:val="none"/>
        </w:rPr>
        <w:t>既能及时满足市场交易需求，也有利于集中市场流动性，提高市场运行效率。</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（六）最后交易日/到期日：</w:t>
      </w:r>
      <w:bookmarkEnd w:id="0"/>
      <w:bookmarkEnd w:id="1"/>
      <w:bookmarkEnd w:id="2"/>
      <w:r>
        <w:rPr>
          <w:rFonts w:hint="default" w:ascii="Times New Roman" w:hAnsi="Times New Roman" w:eastAsia="楷体" w:cs="Times New Roman"/>
          <w:color w:val="auto"/>
          <w:sz w:val="32"/>
          <w:szCs w:val="32"/>
        </w:rPr>
        <w:t>标的期货合约交割月份前一个月第15个日历日之前（含该日）的倒数第3个交易日</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瓶片期权到期日为交割月份前一个月第15个日历日之前（含该日）的倒数第3个交易日，</w:t>
      </w:r>
      <w:r>
        <w:rPr>
          <w:rFonts w:ascii="Times New Roman" w:hAnsi="Times New Roman" w:eastAsia="仿宋"/>
          <w:color w:val="auto"/>
          <w:sz w:val="32"/>
          <w:szCs w:val="32"/>
          <w:highlight w:val="none"/>
        </w:rPr>
        <w:t>与郑州商品交易所已上市期权设计思路保持一致，即均在标的期货梯度限仓调整前到期，有利于交易者熟悉掌握。</w:t>
      </w:r>
      <w:r>
        <w:rPr>
          <w:rFonts w:hint="default" w:ascii="Times New Roman" w:hAnsi="Times New Roman" w:eastAsia="仿宋" w:cs="Times New Roman"/>
          <w:color w:val="auto"/>
          <w:sz w:val="32"/>
          <w:szCs w:val="32"/>
        </w:rPr>
        <w:t>一方面，期权到期日尽量接近标的期货交割月，有利于企业更好地使用期权开展套期保值；另一方面，期权在标的期货交割月前一个月梯度限仓调整前到期，可以降低期权行权对期货交割月运行的影响。</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（七）行权价格数量：覆盖标的期货合约上一交易日结算价上下浮动1.5倍当日涨跌停板幅度对应的价格范围</w:t>
      </w:r>
    </w:p>
    <w:p>
      <w:pPr>
        <w:suppressAutoHyphens/>
        <w:adjustRightInd w:val="0"/>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eastAsia="仿宋" w:cs="Times New Roman"/>
          <w:color w:val="auto"/>
          <w:sz w:val="32"/>
          <w:szCs w:val="32"/>
          <w:lang w:val="en-US" w:eastAsia="zh-CN"/>
        </w:rPr>
        <w:t>交易</w:t>
      </w:r>
      <w:r>
        <w:rPr>
          <w:rFonts w:hint="default" w:ascii="Times New Roman" w:hAnsi="Times New Roman" w:eastAsia="仿宋" w:cs="Times New Roman"/>
          <w:color w:val="auto"/>
          <w:sz w:val="32"/>
          <w:szCs w:val="32"/>
        </w:rPr>
        <w:t>者对虚值、平值、实值期权的避险需求。随着标的期货价格变动，到期日前的每一个交易日将根据上一交易日标的期货结算价上下浮动1.5倍当日涨跌停板幅度对应的价格范围，增挂新行权价格的期权合约。</w:t>
      </w:r>
      <w:r>
        <w:rPr>
          <w:rFonts w:hint="eastAsia" w:eastAsia="仿宋" w:cs="Times New Roman"/>
          <w:color w:val="auto"/>
          <w:sz w:val="32"/>
          <w:szCs w:val="32"/>
        </w:rPr>
        <w:t>到期日前一交易日闭市后不再挂牌新行权价格的期权合约。</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（八）行权价格间距：根据行权价格分段设置</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行权价格间距的设计主要考虑期现货价格水平及波动程度。行权价格间距越小，</w:t>
      </w:r>
      <w:r>
        <w:rPr>
          <w:rFonts w:hint="eastAsia" w:eastAsia="仿宋" w:cs="Times New Roman"/>
          <w:color w:val="auto"/>
          <w:sz w:val="32"/>
        </w:rPr>
        <w:t>相同行权价格范围内</w:t>
      </w:r>
      <w:r>
        <w:rPr>
          <w:rFonts w:hint="default" w:ascii="Times New Roman" w:hAnsi="Times New Roman" w:eastAsia="仿宋" w:cs="Times New Roman"/>
          <w:color w:val="auto"/>
          <w:sz w:val="32"/>
          <w:szCs w:val="32"/>
        </w:rPr>
        <w:t>对应的</w:t>
      </w:r>
      <w:r>
        <w:rPr>
          <w:rFonts w:hint="default" w:ascii="Times New Roman" w:hAnsi="Times New Roman" w:eastAsia="仿宋" w:cs="Times New Roman"/>
          <w:color w:val="auto"/>
          <w:sz w:val="32"/>
        </w:rPr>
        <w:t>期权</w:t>
      </w:r>
      <w:r>
        <w:rPr>
          <w:rFonts w:ascii="Times New Roman" w:hAnsi="Times New Roman" w:eastAsia="仿宋" w:cs="Times New Roman"/>
          <w:color w:val="auto"/>
          <w:sz w:val="32"/>
        </w:rPr>
        <w:t>合约</w:t>
      </w:r>
      <w:r>
        <w:rPr>
          <w:rFonts w:hint="default" w:ascii="Times New Roman" w:hAnsi="Times New Roman" w:eastAsia="仿宋" w:cs="Times New Roman"/>
          <w:color w:val="auto"/>
          <w:sz w:val="32"/>
        </w:rPr>
        <w:t>数量越</w:t>
      </w:r>
      <w:r>
        <w:rPr>
          <w:rFonts w:ascii="Times New Roman" w:hAnsi="Times New Roman" w:eastAsia="仿宋" w:cs="Times New Roman"/>
          <w:color w:val="auto"/>
          <w:sz w:val="32"/>
        </w:rPr>
        <w:t>多</w:t>
      </w:r>
      <w:r>
        <w:rPr>
          <w:rFonts w:hint="default" w:ascii="Times New Roman" w:hAnsi="Times New Roman" w:eastAsia="仿宋" w:cs="Times New Roman"/>
          <w:color w:val="auto"/>
          <w:sz w:val="32"/>
          <w:szCs w:val="32"/>
        </w:rPr>
        <w:t>，不利于集中市场流动性；行权价格间距越大，对应的期权合约数量越少，可供</w:t>
      </w:r>
      <w:r>
        <w:rPr>
          <w:rFonts w:hint="eastAsia" w:eastAsia="仿宋" w:cs="Times New Roman"/>
          <w:color w:val="auto"/>
          <w:sz w:val="32"/>
          <w:szCs w:val="32"/>
          <w:lang w:val="en-US" w:eastAsia="zh-CN"/>
        </w:rPr>
        <w:t>交易</w:t>
      </w:r>
      <w:r>
        <w:rPr>
          <w:rFonts w:hint="default" w:ascii="Times New Roman" w:hAnsi="Times New Roman" w:eastAsia="仿宋" w:cs="Times New Roman"/>
          <w:color w:val="auto"/>
          <w:sz w:val="32"/>
          <w:szCs w:val="32"/>
        </w:rPr>
        <w:t>者选择的行权价格也越少，</w:t>
      </w:r>
      <w:r>
        <w:rPr>
          <w:rFonts w:hint="default" w:ascii="Times New Roman" w:hAnsi="Times New Roman" w:eastAsia="仿宋" w:cs="Times New Roman"/>
          <w:color w:val="auto"/>
          <w:sz w:val="32"/>
        </w:rPr>
        <w:t>难以满足不同</w:t>
      </w:r>
      <w:r>
        <w:rPr>
          <w:rFonts w:hint="eastAsia" w:eastAsia="仿宋" w:cs="Times New Roman"/>
          <w:color w:val="auto"/>
          <w:sz w:val="32"/>
          <w:lang w:val="en-US" w:eastAsia="zh-CN"/>
        </w:rPr>
        <w:t>交易</w:t>
      </w:r>
      <w:r>
        <w:rPr>
          <w:rFonts w:hint="default" w:ascii="Times New Roman" w:hAnsi="Times New Roman" w:eastAsia="仿宋" w:cs="Times New Roman"/>
          <w:color w:val="auto"/>
          <w:sz w:val="32"/>
        </w:rPr>
        <w:t>者</w:t>
      </w:r>
      <w:r>
        <w:rPr>
          <w:rFonts w:hint="eastAsia" w:eastAsia="仿宋" w:cs="Times New Roman"/>
          <w:color w:val="auto"/>
          <w:sz w:val="32"/>
          <w:lang w:val="en-US" w:eastAsia="zh-CN"/>
        </w:rPr>
        <w:t>的</w:t>
      </w:r>
      <w:r>
        <w:rPr>
          <w:rFonts w:hint="default" w:ascii="Times New Roman" w:hAnsi="Times New Roman" w:eastAsia="仿宋" w:cs="Times New Roman"/>
          <w:color w:val="auto"/>
          <w:sz w:val="32"/>
        </w:rPr>
        <w:t>需要</w:t>
      </w:r>
      <w:r>
        <w:rPr>
          <w:rFonts w:hint="default" w:ascii="Times New Roman" w:hAnsi="Times New Roman" w:eastAsia="仿宋" w:cs="Times New Roman"/>
          <w:color w:val="auto"/>
          <w:sz w:val="32"/>
          <w:szCs w:val="32"/>
        </w:rPr>
        <w:t>。</w:t>
      </w:r>
    </w:p>
    <w:p>
      <w:pPr>
        <w:suppressAutoHyphens/>
        <w:spacing w:line="360" w:lineRule="auto"/>
        <w:ind w:firstLine="640" w:firstLineChars="200"/>
        <w:rPr>
          <w:rFonts w:ascii="Times New Roman" w:hAnsi="Times New Roman" w:eastAsia="仿宋" w:cs="Times New Roman"/>
          <w:color w:val="auto"/>
          <w:sz w:val="32"/>
          <w:szCs w:val="32"/>
        </w:rPr>
      </w:pPr>
      <w:r>
        <w:rPr>
          <w:rFonts w:hint="eastAsia" w:eastAsia="仿宋"/>
          <w:color w:val="auto"/>
          <w:sz w:val="32"/>
          <w:szCs w:val="32"/>
          <w:highlight w:val="none"/>
          <w:lang w:val="en-US" w:eastAsia="zh-CN"/>
        </w:rPr>
        <w:t>根据近年来</w:t>
      </w:r>
      <w:r>
        <w:rPr>
          <w:rFonts w:hint="eastAsia" w:ascii="Times New Roman" w:eastAsia="仿宋"/>
          <w:color w:val="auto"/>
          <w:sz w:val="32"/>
          <w:szCs w:val="32"/>
          <w:highlight w:val="none"/>
          <w:lang w:val="en-US" w:eastAsia="zh-CN"/>
        </w:rPr>
        <w:t>瓶片</w:t>
      </w:r>
      <w:r>
        <w:rPr>
          <w:rFonts w:hint="eastAsia" w:eastAsia="仿宋"/>
          <w:color w:val="auto"/>
          <w:sz w:val="32"/>
          <w:szCs w:val="32"/>
          <w:highlight w:val="none"/>
          <w:lang w:val="en-US" w:eastAsia="zh-CN"/>
        </w:rPr>
        <w:t>现货价格主要运行区间，</w:t>
      </w:r>
      <w:r>
        <w:rPr>
          <w:rFonts w:hint="eastAsia" w:eastAsia="仿宋" w:cs="Times New Roman"/>
          <w:color w:val="auto"/>
          <w:sz w:val="32"/>
          <w:szCs w:val="32"/>
          <w:lang w:val="en-US" w:eastAsia="zh-CN"/>
        </w:rPr>
        <w:t>将</w:t>
      </w:r>
      <w:r>
        <w:rPr>
          <w:rFonts w:hint="default" w:ascii="Times New Roman" w:hAnsi="Times New Roman" w:eastAsia="仿宋" w:cs="Times New Roman"/>
          <w:color w:val="auto"/>
          <w:sz w:val="32"/>
          <w:szCs w:val="32"/>
        </w:rPr>
        <w:t>瓶片期权行权价格以</w:t>
      </w:r>
      <w:r>
        <w:rPr>
          <w:rFonts w:ascii="Times New Roman" w:hAnsi="Times New Roman" w:eastAsia="仿宋" w:cs="Times New Roman"/>
          <w:color w:val="auto"/>
          <w:sz w:val="32"/>
          <w:szCs w:val="32"/>
        </w:rPr>
        <w:t>5000</w:t>
      </w:r>
      <w:r>
        <w:rPr>
          <w:rFonts w:hint="default" w:ascii="Times New Roman" w:hAnsi="Times New Roman" w:eastAsia="仿宋" w:cs="Times New Roman"/>
          <w:color w:val="auto"/>
          <w:sz w:val="32"/>
          <w:szCs w:val="32"/>
        </w:rPr>
        <w:t>元</w:t>
      </w:r>
      <w:r>
        <w:rPr>
          <w:rFonts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吨和</w:t>
      </w:r>
      <w:r>
        <w:rPr>
          <w:rFonts w:ascii="Times New Roman" w:hAnsi="Times New Roman" w:eastAsia="仿宋" w:cs="Times New Roman"/>
          <w:color w:val="auto"/>
          <w:sz w:val="32"/>
          <w:szCs w:val="32"/>
        </w:rPr>
        <w:t>10000</w:t>
      </w:r>
      <w:r>
        <w:rPr>
          <w:rFonts w:hint="default" w:ascii="Times New Roman" w:hAnsi="Times New Roman" w:eastAsia="仿宋" w:cs="Times New Roman"/>
          <w:color w:val="auto"/>
          <w:sz w:val="32"/>
          <w:szCs w:val="32"/>
        </w:rPr>
        <w:t>元</w:t>
      </w:r>
      <w:r>
        <w:rPr>
          <w:rFonts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t>吨为节点分为三段，各段行权价格间距</w:t>
      </w:r>
      <w:r>
        <w:rPr>
          <w:rFonts w:eastAsia="仿宋" w:cs="Times New Roman"/>
          <w:color w:val="auto"/>
          <w:sz w:val="32"/>
        </w:rPr>
        <w:t>分别取50、100、200元/吨，</w:t>
      </w:r>
      <w:r>
        <w:rPr>
          <w:rFonts w:hint="default" w:ascii="Times New Roman" w:hAnsi="Times New Roman" w:eastAsia="仿宋" w:cs="Times New Roman"/>
          <w:color w:val="auto"/>
          <w:sz w:val="32"/>
          <w:szCs w:val="32"/>
        </w:rPr>
        <w:t>与行权价格的比值在</w:t>
      </w:r>
      <w:r>
        <w:rPr>
          <w:rFonts w:ascii="Times New Roman" w:hAnsi="Times New Roman" w:eastAsia="仿宋" w:cs="Times New Roman"/>
          <w:color w:val="auto"/>
          <w:sz w:val="32"/>
          <w:szCs w:val="32"/>
        </w:rPr>
        <w:t>1%</w:t>
      </w:r>
      <w:r>
        <w:rPr>
          <w:rFonts w:hint="default" w:ascii="Times New Roman" w:hAnsi="Times New Roman" w:eastAsia="仿宋" w:cs="Times New Roman"/>
          <w:color w:val="auto"/>
          <w:sz w:val="32"/>
          <w:szCs w:val="32"/>
        </w:rPr>
        <w:t>至</w:t>
      </w:r>
      <w:r>
        <w:rPr>
          <w:rFonts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rPr>
        <w:t>之间，与国际成熟市场</w:t>
      </w:r>
      <w:r>
        <w:rPr>
          <w:rFonts w:hint="default" w:ascii="Times New Roman" w:hAnsi="Times New Roman" w:eastAsia="仿宋" w:cs="Times New Roman"/>
          <w:color w:val="auto"/>
          <w:sz w:val="32"/>
        </w:rPr>
        <w:t>惯例基本一致</w:t>
      </w:r>
      <w:r>
        <w:rPr>
          <w:rFonts w:hint="default" w:ascii="Times New Roman" w:hAnsi="Times New Roman" w:eastAsia="仿宋" w:cs="Times New Roman"/>
          <w:color w:val="auto"/>
          <w:sz w:val="32"/>
          <w:szCs w:val="32"/>
        </w:rPr>
        <w:t>。</w:t>
      </w:r>
    </w:p>
    <w:p>
      <w:pPr>
        <w:suppressAutoHyphens/>
        <w:spacing w:line="360" w:lineRule="auto"/>
        <w:ind w:firstLine="0" w:firstLineChars="0"/>
        <w:jc w:val="center"/>
        <w:rPr>
          <w:rFonts w:hint="default" w:ascii="Times New Roman" w:hAnsi="Times New Roman" w:eastAsia="仿宋" w:cs="Times New Roman"/>
          <w:b/>
          <w:color w:val="auto"/>
          <w:sz w:val="24"/>
          <w:szCs w:val="32"/>
        </w:rPr>
      </w:pPr>
      <w:r>
        <w:rPr>
          <w:rFonts w:hint="default" w:ascii="Times New Roman" w:hAnsi="Times New Roman" w:eastAsia="仿宋" w:cs="Times New Roman"/>
          <w:b/>
          <w:color w:val="auto"/>
          <w:sz w:val="24"/>
          <w:szCs w:val="32"/>
        </w:rPr>
        <w:t>瓶片期权行权价格间距（单位：元/吨）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8"/>
        <w:gridCol w:w="1777"/>
        <w:gridCol w:w="237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tcBorders>
              <w:lef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行权价格</w:t>
            </w:r>
          </w:p>
        </w:tc>
        <w:tc>
          <w:tcPr>
            <w:tcW w:w="1777"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5000</w:t>
            </w:r>
          </w:p>
        </w:tc>
        <w:tc>
          <w:tcPr>
            <w:tcW w:w="2370"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5000</w:t>
            </w:r>
            <w:r>
              <w:rPr>
                <w:rFonts w:hint="default" w:ascii="Times New Roman" w:hAnsi="Times New Roman" w:eastAsia="仿宋" w:cs="Times New Roman"/>
                <w:color w:val="auto"/>
                <w:sz w:val="24"/>
              </w:rPr>
              <w:t>且≤</w:t>
            </w:r>
            <w:r>
              <w:rPr>
                <w:rFonts w:ascii="Times New Roman" w:hAnsi="Times New Roman" w:eastAsia="仿宋" w:cs="Times New Roman"/>
                <w:color w:val="auto"/>
                <w:sz w:val="24"/>
              </w:rPr>
              <w:t>10000</w:t>
            </w:r>
          </w:p>
        </w:tc>
        <w:tc>
          <w:tcPr>
            <w:tcW w:w="1347" w:type="dxa"/>
            <w:tcBorders>
              <w:righ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tcBorders>
              <w:lef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行权价格间距</w:t>
            </w:r>
          </w:p>
        </w:tc>
        <w:tc>
          <w:tcPr>
            <w:tcW w:w="1777"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ascii="Times New Roman" w:hAnsi="Times New Roman" w:eastAsia="仿宋" w:cs="Times New Roman"/>
                <w:color w:val="auto"/>
                <w:sz w:val="24"/>
              </w:rPr>
              <w:t>50</w:t>
            </w:r>
          </w:p>
        </w:tc>
        <w:tc>
          <w:tcPr>
            <w:tcW w:w="2370"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ascii="Times New Roman" w:hAnsi="Times New Roman" w:eastAsia="仿宋" w:cs="Times New Roman"/>
                <w:color w:val="auto"/>
                <w:sz w:val="24"/>
              </w:rPr>
              <w:t>100</w:t>
            </w:r>
          </w:p>
        </w:tc>
        <w:tc>
          <w:tcPr>
            <w:tcW w:w="1347" w:type="dxa"/>
            <w:tcBorders>
              <w:righ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ascii="Times New Roman" w:hAnsi="Times New Roman" w:eastAsia="仿宋" w:cs="Times New Roman"/>
                <w:color w:val="auto"/>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8" w:type="dxa"/>
            <w:tcBorders>
              <w:lef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行权价格间距</w:t>
            </w:r>
            <w:r>
              <w:rPr>
                <w:rFonts w:ascii="Times New Roman" w:hAnsi="Times New Roman" w:eastAsia="仿宋" w:cs="Times New Roman"/>
                <w:color w:val="auto"/>
                <w:sz w:val="24"/>
              </w:rPr>
              <w:t>/</w:t>
            </w:r>
            <w:r>
              <w:rPr>
                <w:rFonts w:hint="default" w:ascii="Times New Roman" w:hAnsi="Times New Roman" w:eastAsia="仿宋" w:cs="Times New Roman"/>
                <w:color w:val="auto"/>
                <w:sz w:val="24"/>
              </w:rPr>
              <w:t>行权价格</w:t>
            </w:r>
          </w:p>
        </w:tc>
        <w:tc>
          <w:tcPr>
            <w:tcW w:w="1777"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1%</w:t>
            </w:r>
          </w:p>
        </w:tc>
        <w:tc>
          <w:tcPr>
            <w:tcW w:w="2370" w:type="dxa"/>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1%</w:t>
            </w:r>
            <w:r>
              <w:rPr>
                <w:rFonts w:hint="default" w:ascii="Times New Roman" w:hAnsi="Times New Roman" w:eastAsia="仿宋" w:cs="Times New Roman"/>
                <w:color w:val="auto"/>
                <w:sz w:val="24"/>
              </w:rPr>
              <w:t>且＜</w:t>
            </w:r>
            <w:r>
              <w:rPr>
                <w:rFonts w:ascii="Times New Roman" w:hAnsi="Times New Roman" w:eastAsia="仿宋" w:cs="Times New Roman"/>
                <w:color w:val="auto"/>
                <w:sz w:val="24"/>
              </w:rPr>
              <w:t>2%</w:t>
            </w:r>
          </w:p>
        </w:tc>
        <w:tc>
          <w:tcPr>
            <w:tcW w:w="1347" w:type="dxa"/>
            <w:tcBorders>
              <w:right w:val="nil"/>
            </w:tcBorders>
            <w:vAlign w:val="center"/>
          </w:tcPr>
          <w:p>
            <w:pPr>
              <w:suppressAutoHyphens/>
              <w:ind w:firstLine="0" w:firstLineChars="0"/>
              <w:jc w:val="center"/>
              <w:rPr>
                <w:rFonts w:hint="default" w:ascii="Times New Roman" w:hAnsi="Times New Roman" w:eastAsia="仿宋" w:cs="Times New Roman"/>
                <w:b/>
                <w:color w:val="auto"/>
                <w:sz w:val="24"/>
                <w:szCs w:val="32"/>
                <w:vertAlign w:val="baseline"/>
              </w:rPr>
            </w:pPr>
            <w:r>
              <w:rPr>
                <w:rFonts w:hint="default" w:ascii="Times New Roman" w:hAnsi="Times New Roman" w:eastAsia="仿宋" w:cs="Times New Roman"/>
                <w:color w:val="auto"/>
                <w:sz w:val="24"/>
              </w:rPr>
              <w:t>＜</w:t>
            </w:r>
            <w:r>
              <w:rPr>
                <w:rFonts w:ascii="Times New Roman" w:hAnsi="Times New Roman" w:eastAsia="仿宋" w:cs="Times New Roman"/>
                <w:color w:val="auto"/>
                <w:sz w:val="24"/>
              </w:rPr>
              <w:t>2%</w:t>
            </w:r>
          </w:p>
        </w:tc>
      </w:tr>
    </w:tbl>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（九）行权方式：美式</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期权行权方式可分为美式与欧式。对于期权买方，美式期权行权可在到期日及之前任一交易日进行，而欧式期权行权只能在到期日进行。</w:t>
      </w:r>
    </w:p>
    <w:p>
      <w:pPr>
        <w:suppressAutoHyphens/>
        <w:spacing w:line="360" w:lineRule="auto"/>
        <w:ind w:firstLine="640" w:firstLineChars="200"/>
        <w:rPr>
          <w:rFonts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国际商品期权一般为美式期权。美式期权行权方式有利于保持期权和期货价格更强的关联性，给</w:t>
      </w:r>
      <w:r>
        <w:rPr>
          <w:rFonts w:ascii="Times New Roman" w:hAnsi="Times New Roman" w:eastAsia="仿宋"/>
          <w:color w:val="auto"/>
          <w:sz w:val="32"/>
          <w:szCs w:val="32"/>
          <w:highlight w:val="none"/>
        </w:rPr>
        <w:t>交易者</w:t>
      </w:r>
      <w:r>
        <w:rPr>
          <w:rFonts w:hint="default" w:ascii="Times New Roman" w:hAnsi="Times New Roman" w:eastAsia="仿宋" w:cs="Times New Roman"/>
          <w:color w:val="auto"/>
          <w:sz w:val="32"/>
          <w:szCs w:val="32"/>
        </w:rPr>
        <w:t>提供灵活的选择，可以降低期权集中到期对标的期货市场运行的影响。</w:t>
      </w:r>
    </w:p>
    <w:p>
      <w:pPr>
        <w:suppressAutoHyphens/>
        <w:spacing w:line="360" w:lineRule="auto"/>
        <w:ind w:firstLine="596" w:firstLineChars="200"/>
        <w:rPr>
          <w:rFonts w:ascii="Times New Roman" w:hAnsi="Times New Roman" w:eastAsia="仿宋" w:cs="Times New Roman"/>
          <w:color w:val="auto"/>
          <w:spacing w:val="-11"/>
          <w:sz w:val="32"/>
          <w:szCs w:val="32"/>
        </w:rPr>
      </w:pPr>
      <w:r>
        <w:rPr>
          <w:rFonts w:hint="eastAsia" w:ascii="Times New Roman" w:hAnsi="Times New Roman" w:eastAsia="仿宋" w:cs="Times New Roman"/>
          <w:color w:val="auto"/>
          <w:spacing w:val="-11"/>
          <w:sz w:val="32"/>
          <w:szCs w:val="32"/>
          <w:highlight w:val="none"/>
        </w:rPr>
        <w:t>根据已上市期权品种运行情况，</w:t>
      </w:r>
      <w:r>
        <w:rPr>
          <w:rFonts w:ascii="Times New Roman" w:hAnsi="Times New Roman" w:eastAsia="仿宋"/>
          <w:color w:val="auto"/>
          <w:spacing w:val="-11"/>
          <w:sz w:val="32"/>
          <w:szCs w:val="32"/>
          <w:highlight w:val="none"/>
        </w:rPr>
        <w:t>市场存在提前行权需求。借鉴国际市场和已上市期权运行经验，</w:t>
      </w:r>
      <w:r>
        <w:rPr>
          <w:rFonts w:hint="default" w:ascii="Times New Roman" w:hAnsi="Times New Roman" w:eastAsia="仿宋" w:cs="Times New Roman"/>
          <w:color w:val="auto"/>
          <w:spacing w:val="-11"/>
          <w:sz w:val="32"/>
          <w:szCs w:val="32"/>
        </w:rPr>
        <w:t>瓶片期权也采用美式期权。</w:t>
      </w:r>
    </w:p>
    <w:p>
      <w:pPr>
        <w:suppressAutoHyphens/>
        <w:spacing w:line="360" w:lineRule="auto"/>
        <w:ind w:firstLine="640" w:firstLineChars="200"/>
        <w:outlineLvl w:val="1"/>
        <w:rPr>
          <w:rFonts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（十）交易代码：</w:t>
      </w:r>
      <w:r>
        <w:rPr>
          <w:rFonts w:ascii="Times New Roman" w:hAnsi="Times New Roman" w:eastAsia="楷体" w:cs="Times New Roman"/>
          <w:color w:val="auto"/>
          <w:sz w:val="32"/>
          <w:szCs w:val="32"/>
        </w:rPr>
        <w:t>P</w:t>
      </w:r>
      <w:r>
        <w:rPr>
          <w:rFonts w:hint="default" w:ascii="Times New Roman" w:hAnsi="Times New Roman" w:eastAsia="楷体" w:cs="Times New Roman"/>
          <w:color w:val="auto"/>
          <w:sz w:val="32"/>
          <w:szCs w:val="32"/>
        </w:rPr>
        <w:t>R</w:t>
      </w:r>
      <w:r>
        <w:rPr>
          <w:rFonts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rPr>
        <w:t>合约月份</w:t>
      </w:r>
      <w:r>
        <w:rPr>
          <w:rFonts w:eastAsia="楷体" w:cs="Times New Roman"/>
          <w:color w:val="auto"/>
          <w:sz w:val="32"/>
          <w:szCs w:val="32"/>
        </w:rPr>
        <w:t>-C（P）-</w:t>
      </w:r>
      <w:r>
        <w:rPr>
          <w:rFonts w:hint="default" w:ascii="Times New Roman" w:hAnsi="Times New Roman" w:eastAsia="楷体" w:cs="Times New Roman"/>
          <w:color w:val="auto"/>
          <w:sz w:val="32"/>
          <w:szCs w:val="32"/>
        </w:rPr>
        <w:t>行权价格</w:t>
      </w:r>
    </w:p>
    <w:p>
      <w:pPr>
        <w:ind w:firstLine="640" w:firstLineChars="200"/>
        <w:rPr>
          <w:rFonts w:ascii="仿宋" w:hAnsi="仿宋" w:eastAsia="仿宋"/>
          <w:color w:val="auto"/>
          <w:sz w:val="32"/>
        </w:rPr>
      </w:pPr>
      <w:r>
        <w:rPr>
          <w:rFonts w:hint="default" w:ascii="Times New Roman" w:hAnsi="Times New Roman" w:eastAsia="仿宋" w:cs="Times New Roman"/>
          <w:color w:val="auto"/>
          <w:sz w:val="32"/>
          <w:szCs w:val="32"/>
        </w:rPr>
        <w:t>瓶片期权合约沿用国内商品期权通行的交易代码组成方式，与已上市期权交易代码组成方式一致，便于</w:t>
      </w:r>
      <w:r>
        <w:rPr>
          <w:rFonts w:hint="eastAsia" w:eastAsia="仿宋" w:cs="Times New Roman"/>
          <w:color w:val="auto"/>
          <w:sz w:val="32"/>
          <w:szCs w:val="32"/>
          <w:lang w:val="en-US" w:eastAsia="zh-CN"/>
        </w:rPr>
        <w:t>交易</w:t>
      </w:r>
      <w:r>
        <w:rPr>
          <w:rFonts w:hint="default" w:ascii="Times New Roman" w:hAnsi="Times New Roman" w:eastAsia="仿宋" w:cs="Times New Roman"/>
          <w:color w:val="auto"/>
          <w:sz w:val="32"/>
          <w:szCs w:val="32"/>
        </w:rPr>
        <w:t>者理解与掌握。其中，看涨期权（</w:t>
      </w:r>
      <w:r>
        <w:rPr>
          <w:rFonts w:ascii="Times New Roman" w:hAnsi="Times New Roman" w:eastAsia="仿宋" w:cs="Times New Roman"/>
          <w:color w:val="auto"/>
          <w:sz w:val="32"/>
          <w:szCs w:val="32"/>
        </w:rPr>
        <w:t>Call</w:t>
      </w:r>
      <w:r>
        <w:rPr>
          <w:rFonts w:hint="default" w:ascii="Times New Roman" w:hAnsi="Times New Roman" w:eastAsia="仿宋" w:cs="Times New Roman"/>
          <w:color w:val="auto"/>
          <w:sz w:val="32"/>
          <w:szCs w:val="32"/>
        </w:rPr>
        <w:t>）用大写英文字母</w:t>
      </w:r>
      <w:r>
        <w:rPr>
          <w:rFonts w:ascii="Times New Roman" w:hAnsi="Times New Roman" w:eastAsia="仿宋" w:cs="Times New Roman"/>
          <w:color w:val="auto"/>
          <w:sz w:val="32"/>
          <w:szCs w:val="32"/>
        </w:rPr>
        <w:t>C</w:t>
      </w:r>
      <w:r>
        <w:rPr>
          <w:rFonts w:hint="default" w:ascii="Times New Roman" w:hAnsi="Times New Roman" w:eastAsia="仿宋" w:cs="Times New Roman"/>
          <w:color w:val="auto"/>
          <w:sz w:val="32"/>
          <w:szCs w:val="32"/>
        </w:rPr>
        <w:t>表示，看跌期权（</w:t>
      </w:r>
      <w:r>
        <w:rPr>
          <w:rFonts w:ascii="Times New Roman" w:hAnsi="Times New Roman" w:eastAsia="仿宋" w:cs="Times New Roman"/>
          <w:color w:val="auto"/>
          <w:sz w:val="32"/>
          <w:szCs w:val="32"/>
        </w:rPr>
        <w:t>Put</w:t>
      </w:r>
      <w:r>
        <w:rPr>
          <w:rFonts w:hint="default" w:ascii="Times New Roman" w:hAnsi="Times New Roman" w:eastAsia="仿宋" w:cs="Times New Roman"/>
          <w:color w:val="auto"/>
          <w:sz w:val="32"/>
          <w:szCs w:val="32"/>
        </w:rPr>
        <w:t>）用大写英文字母</w:t>
      </w:r>
      <w:r>
        <w:rPr>
          <w:rFonts w:ascii="Times New Roman" w:hAnsi="Times New Roman" w:eastAsia="仿宋" w:cs="Times New Roman"/>
          <w:color w:val="auto"/>
          <w:sz w:val="32"/>
          <w:szCs w:val="32"/>
        </w:rPr>
        <w:t>P</w:t>
      </w:r>
      <w:r>
        <w:rPr>
          <w:rFonts w:hint="default" w:ascii="Times New Roman" w:hAnsi="Times New Roman" w:eastAsia="仿宋" w:cs="Times New Roman"/>
          <w:color w:val="auto"/>
          <w:sz w:val="32"/>
          <w:szCs w:val="32"/>
        </w:rPr>
        <w:t>表示。</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1</w:t>
                </w:r>
                <w:r>
                  <w:rPr>
                    <w:rStyle w:val="10"/>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4</w:t>
    </w:r>
    <w:r>
      <w:rPr>
        <w:rStyle w:val="10"/>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widowControl w:val="0"/>
        <w:snapToGrid w:val="0"/>
        <w:ind w:left="0" w:leftChars="0" w:firstLine="0" w:firstLineChars="0"/>
        <w:jc w:val="left"/>
        <w:rPr>
          <w:rFonts w:ascii="Times New Roman" w:hAnsi="Times New Roman" w:eastAsia="仿宋" w:cs="Times New Roman"/>
          <w:kern w:val="2"/>
          <w:sz w:val="18"/>
          <w:szCs w:val="24"/>
          <w:lang w:val="en-US" w:eastAsia="zh-CN" w:bidi="ar-SA"/>
        </w:rPr>
      </w:pPr>
      <w:r>
        <w:rPr>
          <w:rFonts w:hint="default" w:ascii="Times New Roman" w:hAnsi="Times New Roman" w:eastAsia="宋体" w:cs="Times New Roman"/>
          <w:kern w:val="2"/>
          <w:sz w:val="18"/>
          <w:szCs w:val="18"/>
          <w:vertAlign w:val="superscript"/>
          <w:lang w:val="en-US" w:eastAsia="zh-CN" w:bidi="ar-SA"/>
        </w:rPr>
        <w:footnoteRef/>
      </w:r>
      <w:r>
        <w:rPr>
          <w:rFonts w:ascii="Times New Roman" w:hAnsi="Times New Roman" w:eastAsia="仿宋" w:cs="Times New Roman"/>
          <w:kern w:val="2"/>
          <w:sz w:val="18"/>
          <w:szCs w:val="18"/>
          <w:lang w:val="en-US" w:eastAsia="zh-CN" w:bidi="ar-SA"/>
        </w:rPr>
        <w:t xml:space="preserve"> </w:t>
      </w:r>
      <w:r>
        <w:rPr>
          <w:rFonts w:hint="eastAsia" w:ascii="Times New Roman" w:hAnsi="Times New Roman" w:eastAsia="仿宋" w:cs="Times New Roman"/>
          <w:kern w:val="2"/>
          <w:sz w:val="18"/>
          <w:szCs w:val="24"/>
          <w:lang w:val="en-US" w:eastAsia="zh-CN" w:bidi="ar-SA"/>
        </w:rPr>
        <w:t>瓶级聚酯切片简称瓶片，为表述方便，除合约文本外，其他均使用简称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908500E"/>
    <w:rsid w:val="1D7036B5"/>
    <w:rsid w:val="2F7E1C8E"/>
    <w:rsid w:val="39BF8939"/>
    <w:rsid w:val="3BCFC836"/>
    <w:rsid w:val="3F53C4A6"/>
    <w:rsid w:val="451B752B"/>
    <w:rsid w:val="4DCEF1D4"/>
    <w:rsid w:val="52FF750A"/>
    <w:rsid w:val="577508C9"/>
    <w:rsid w:val="5F9F900C"/>
    <w:rsid w:val="5FFDE019"/>
    <w:rsid w:val="61EC04E2"/>
    <w:rsid w:val="6DFB03E6"/>
    <w:rsid w:val="6E3BCB2F"/>
    <w:rsid w:val="6FBF8E93"/>
    <w:rsid w:val="75FF4214"/>
    <w:rsid w:val="78031D0F"/>
    <w:rsid w:val="7BC72704"/>
    <w:rsid w:val="7F73CFCE"/>
    <w:rsid w:val="7FBF6EF1"/>
    <w:rsid w:val="7FDB21C4"/>
    <w:rsid w:val="8FED3C11"/>
    <w:rsid w:val="9FF7F9EE"/>
    <w:rsid w:val="B9BF895B"/>
    <w:rsid w:val="CBEE2B59"/>
    <w:rsid w:val="DEFFEDCC"/>
    <w:rsid w:val="DF1F89E1"/>
    <w:rsid w:val="EBBEF6EA"/>
    <w:rsid w:val="F3FE59DB"/>
    <w:rsid w:val="F5FEDC6C"/>
    <w:rsid w:val="F76FE619"/>
    <w:rsid w:val="F7BFA01B"/>
    <w:rsid w:val="FC7710A4"/>
    <w:rsid w:val="FF3B9219"/>
    <w:rsid w:val="FF7773DD"/>
    <w:rsid w:val="FF9A709D"/>
    <w:rsid w:val="FFEE0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rPr>
      <w:rFonts w:ascii="仿宋_GB2312" w:eastAsia="仿宋_GB2312"/>
      <w:sz w:val="32"/>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otnote reference"/>
    <w:basedOn w:val="9"/>
    <w:qFormat/>
    <w:uiPriority w:val="0"/>
    <w:rPr>
      <w:vertAlign w:val="superscript"/>
    </w:rPr>
  </w:style>
  <w:style w:type="character" w:customStyle="1" w:styleId="12">
    <w:name w:val="页脚 Char"/>
    <w:basedOn w:val="9"/>
    <w:link w:val="3"/>
    <w:qFormat/>
    <w:uiPriority w:val="0"/>
    <w:rPr>
      <w:rFonts w:ascii="Times New Roman" w:hAnsi="Times New Roman" w:eastAsia="宋体" w:cs="Times New Roman"/>
      <w:sz w:val="18"/>
      <w:szCs w:val="18"/>
    </w:rPr>
  </w:style>
  <w:style w:type="character" w:customStyle="1" w:styleId="13">
    <w:name w:val="日期 Char"/>
    <w:basedOn w:val="9"/>
    <w:link w:val="2"/>
    <w:qFormat/>
    <w:uiPriority w:val="0"/>
    <w:rPr>
      <w:rFonts w:ascii="仿宋_GB2312" w:hAnsi="Times New Roman" w:eastAsia="仿宋_GB2312" w:cs="Times New Roman"/>
      <w:sz w:val="32"/>
      <w:szCs w:val="24"/>
    </w:rPr>
  </w:style>
  <w:style w:type="character" w:customStyle="1" w:styleId="14">
    <w:name w:val="页眉 Char"/>
    <w:basedOn w:val="9"/>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2019-09-18T06:10:00Z</dcterms:created>
  <dc:creator>CN=李小鹏/OU=办公室/O=CZCE</dc:creator>
  <cp:lastModifiedBy>张雅杰</cp:lastModifiedBy>
  <dcterms:modified xsi:type="dcterms:W3CDTF">2024-11-14T15:04:28Z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7538010B11644F85835DCCBBF07BC7AE</vt:lpwstr>
  </property>
</Properties>
</file>